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Аннотация</w:t>
      </w:r>
    </w:p>
    <w:p>
      <w:pPr>
        <w:pStyle w:val="Normal"/>
        <w:jc w:val="center"/>
        <w:rPr/>
      </w:pPr>
      <w:r>
        <w:rPr/>
        <w:t>Литература</w:t>
      </w:r>
    </w:p>
    <w:p>
      <w:pPr>
        <w:pStyle w:val="Normal"/>
        <w:jc w:val="center"/>
        <w:rPr/>
      </w:pPr>
      <w:r>
        <w:rPr/>
        <w:t>10 класс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8"/>
        </w:rPr>
        <w:t xml:space="preserve">На изучение литературы в 10 классе основного среднего образования на базовом уровне в учебном плане отводится 102 часа, рассчитанных на 34 учебных недели. </w:t>
      </w:r>
    </w:p>
    <w:p>
      <w:pPr>
        <w:pStyle w:val="Normal"/>
        <w:spacing w:before="0" w:after="0"/>
        <w:ind w:left="0" w:right="0" w:firstLine="600"/>
        <w:rPr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Предметные результаты по литературе в средней школе должны обеспечивать: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3) 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6) 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8) сформированность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/>
        <w:t>Содержание:</w:t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8"/>
        </w:rPr>
        <w:t>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города» (избранные главы); роман Ф. М. Достоевского «Преступление и наказание»; роман Л. Н. Толстого «Война и мир»; одно произведение Н. С. Лескова; рассказы и пьеса «Вишнёвый сад» А. П. Чехова.</w:t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Mangal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2</Pages>
  <Words>618</Words>
  <Characters>4478</Characters>
  <CharactersWithSpaces>5084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2023-10-19T15:20:42Z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